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Environmental and Sustainability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Operations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encourage practical, proportionate environmental responsibility in Koala Klubs delivery.</w:t>
      </w:r>
    </w:p>
    <w:p>
      <w:pPr>
        <w:pStyle w:val="Heading1"/>
      </w:pPr>
      <w:r>
        <w:t>Scope</w:t>
      </w:r>
    </w:p>
    <w:p>
      <w:r>
        <w:t>Resources, food provision, waste, procurement, and day-to-day environmental practice across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Environmental action should be realistic, visible, and compatible with safe service delivery.</w:t>
      </w:r>
    </w:p>
    <w:p>
      <w:pPr>
        <w:pStyle w:val="ListBullet"/>
        <w:spacing w:after="40"/>
      </w:pPr>
      <w:r>
        <w:t>Children can be encouraged to engage with sustainable habits through activities and routines.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Promote waste reduction, recycling, reuse, healthy food sourcing aims, and energy-conscious practice.</w:t>
      </w:r>
    </w:p>
    <w:p>
      <w:pPr>
        <w:pStyle w:val="ListBullet"/>
        <w:spacing w:after="40"/>
      </w:pPr>
      <w:r>
        <w:t>Consider sustainability when buying materials and planning activities where practical.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Teams should review waste, supplies, and reusable materials regularly and look for practical improvements.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Environmental and Sustainability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